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BCB" w:rsidRPr="007C4BCB" w:rsidRDefault="007C4BCB" w:rsidP="007C4B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7C4BCB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🧭</w:t>
      </w:r>
      <w:r w:rsidRPr="007C4BCB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Évaluation de compréhension – Chapitre 14.6 / 14.7</w:t>
      </w:r>
    </w:p>
    <w:p w:rsidR="007C4BCB" w:rsidRPr="007C4BCB" w:rsidRDefault="007C4BCB" w:rsidP="007C4BC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fr-FR"/>
        </w:rPr>
        <w:t>Mesurer et valoriser l’expérience client – Du comptoir à la confiance durable</w:t>
      </w:r>
    </w:p>
    <w:p w:rsidR="007C4BCB" w:rsidRPr="007C4BCB" w:rsidRDefault="007C4BCB" w:rsidP="007C4BC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4BCB">
        <w:rPr>
          <w:rFonts w:ascii="Segoe UI Symbol" w:eastAsia="Times New Roman" w:hAnsi="Segoe UI Symbol" w:cs="Segoe UI Symbol"/>
          <w:b/>
          <w:bCs/>
          <w:sz w:val="27"/>
          <w:szCs w:val="27"/>
          <w:lang w:eastAsia="fr-FR"/>
        </w:rPr>
        <w:t>🔹</w:t>
      </w:r>
      <w:r w:rsidRPr="007C4BCB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1. Questions ouvertes</w:t>
      </w:r>
    </w:p>
    <w:p w:rsidR="007C4BCB" w:rsidRPr="007C4BCB" w:rsidRDefault="007C4BCB" w:rsidP="007C4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1 :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Quels indicateurs concrets peuvent être utilisés pour mesurer l’expérience patient au comptoir ?</w:t>
      </w:r>
    </w:p>
    <w:p w:rsidR="007C4BCB" w:rsidRPr="007C4BCB" w:rsidRDefault="007C4BCB" w:rsidP="007C4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2 :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Comment valoriser les bonnes pratiques et les réussites de l’équipe afin de renforcer la motivation et la cohésion ?</w:t>
      </w:r>
    </w:p>
    <w:p w:rsidR="007C4BCB" w:rsidRPr="007C4BCB" w:rsidRDefault="007C4BCB" w:rsidP="007C4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3 :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Quelle est la démarche recommandée pour gérer intelligemment les retours négatifs des patients et transformer une insatisfaction en opportunité ?</w:t>
      </w:r>
    </w:p>
    <w:p w:rsidR="007C4BCB" w:rsidRPr="007C4BCB" w:rsidRDefault="007C4BCB" w:rsidP="007C4BC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4BCB">
        <w:rPr>
          <w:rFonts w:ascii="Segoe UI Symbol" w:eastAsia="Times New Roman" w:hAnsi="Segoe UI Symbol" w:cs="Segoe UI Symbol"/>
          <w:b/>
          <w:bCs/>
          <w:sz w:val="27"/>
          <w:szCs w:val="27"/>
          <w:lang w:eastAsia="fr-FR"/>
        </w:rPr>
        <w:t>🔹</w:t>
      </w:r>
      <w:r w:rsidRPr="007C4BCB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 2. QCM (quizz de compréhension)</w:t>
      </w:r>
    </w:p>
    <w:p w:rsidR="007C4BCB" w:rsidRPr="007C4BCB" w:rsidRDefault="007C4BCB" w:rsidP="007C4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 suivi du nombre de conseils associés donnés permet de :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Mesurer l’engagement de l’équipe dans la prévention et le conseil global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Vérifier que le chiffre d’affaires augmente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Remplacer les retours patients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Diminuer le temps passé avec chaque patient</w:t>
      </w:r>
    </w:p>
    <w:p w:rsidR="007C4BCB" w:rsidRPr="007C4BCB" w:rsidRDefault="007C4BCB" w:rsidP="007C4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Parmi ces pratiques, laquelle </w:t>
      </w: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valorise les réussites de l’équipe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?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Ignorer les retours positifs pour se concentrer sur les problèmes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Partager les compliments, anecdotes positives et situations bien gérées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Se concentrer uniquement sur la rapidité de délivrance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Ne féliciter que le pharmacien principal</w:t>
      </w:r>
    </w:p>
    <w:p w:rsidR="007C4BCB" w:rsidRPr="007C4BCB" w:rsidRDefault="007C4BCB" w:rsidP="007C4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Lorsqu’un patient exprime son insatisfaction, la meilleure réponse consiste à :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Se justifier et expliquer pourquoi le problème est indépendant de l’équipe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Ignorer la critique pour éviter le conflit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Écouter, s’excuser si nécessaire et proposer une solution concrète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Rappeler les règles de l’officine de façon stricte</w:t>
      </w:r>
    </w:p>
    <w:p w:rsidR="007C4BCB" w:rsidRPr="007C4BCB" w:rsidRDefault="007C4BCB" w:rsidP="007C4BC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7C4BCB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✅</w:t>
      </w:r>
      <w:r w:rsidRPr="007C4BCB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Réponses et justifications</w:t>
      </w:r>
    </w:p>
    <w:p w:rsidR="007C4BCB" w:rsidRPr="007C4BCB" w:rsidRDefault="007C4BCB" w:rsidP="007C4BC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🟩 Questions ouvertes</w:t>
      </w:r>
    </w:p>
    <w:p w:rsidR="007C4BCB" w:rsidRPr="007C4BCB" w:rsidRDefault="007C4BCB" w:rsidP="007C4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1 – Indicateurs concrets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Les indicateurs incluent :</w:t>
      </w:r>
    </w:p>
    <w:p w:rsidR="007C4BCB" w:rsidRPr="007C4BCB" w:rsidRDefault="007C4BCB" w:rsidP="007C4BCB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Taux de fidélisation (patients réguliers ou qui reviennent),</w:t>
      </w:r>
    </w:p>
    <w:p w:rsidR="007C4BCB" w:rsidRPr="007C4BCB" w:rsidRDefault="007C4BCB" w:rsidP="007C4BCB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>Retours positifs (compliments, mails, avis),</w:t>
      </w:r>
    </w:p>
    <w:p w:rsidR="007C4BCB" w:rsidRPr="007C4BCB" w:rsidRDefault="007C4BCB" w:rsidP="007C4BCB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>Nombre de conseils associés donnés,</w:t>
      </w:r>
    </w:p>
    <w:p w:rsidR="007C4BCB" w:rsidRPr="007C4BCB" w:rsidRDefault="007C4BCB" w:rsidP="007C4BCB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>Climat général au comptoir (diminution des plaintes, augmentation des interactions positives).</w:t>
      </w:r>
    </w:p>
    <w:p w:rsidR="007C4BCB" w:rsidRPr="007C4BCB" w:rsidRDefault="007C4BCB" w:rsidP="007C4BC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indicateurs permettent d’identifier les forces et les axes d’amélioration de l’expérience patient, et de piloter la qualité du service.</w:t>
      </w:r>
    </w:p>
    <w:p w:rsidR="007C4BCB" w:rsidRPr="007C4BCB" w:rsidRDefault="007C4BCB" w:rsidP="007C4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2 – Valoriser les bonnes pratiques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Valoriser les réussites consiste à :</w:t>
      </w:r>
    </w:p>
    <w:p w:rsidR="007C4BCB" w:rsidRPr="007C4BCB" w:rsidRDefault="007C4BCB" w:rsidP="007C4BCB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>Partager les compliments reçus par l’équipe,</w:t>
      </w:r>
    </w:p>
    <w:p w:rsidR="007C4BCB" w:rsidRPr="007C4BCB" w:rsidRDefault="007C4BCB" w:rsidP="007C4BCB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>Raconter des anecdotes positives sur des conseils appréciés,</w:t>
      </w:r>
    </w:p>
    <w:p w:rsidR="007C4BCB" w:rsidRPr="007C4BCB" w:rsidRDefault="007C4BCB" w:rsidP="007C4BCB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>Mettre en avant des situations bien gérées, difficiles ou tendues,</w:t>
      </w:r>
    </w:p>
    <w:p w:rsidR="007C4BCB" w:rsidRPr="007C4BCB" w:rsidRDefault="007C4BCB" w:rsidP="007C4BCB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>Instaurer un rituel court pour partager ces succès quotidiennement.</w:t>
      </w:r>
    </w:p>
    <w:p w:rsidR="007C4BCB" w:rsidRPr="007C4BCB" w:rsidRDefault="007C4BCB" w:rsidP="007C4BC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reconnaissance collective nourrit la motivation et encourage la répétition des bonnes pratiques, renforçant la cohésion et la culture relationnelle.</w:t>
      </w:r>
    </w:p>
    <w:p w:rsidR="007C4BCB" w:rsidRPr="007C4BCB" w:rsidRDefault="007C4BCB" w:rsidP="007C4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3 – Gérer les retours négatifs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La démarche recommandée :</w:t>
      </w:r>
    </w:p>
    <w:p w:rsidR="007C4BCB" w:rsidRPr="007C4BCB" w:rsidRDefault="007C4BCB" w:rsidP="007C4BC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>Écouter le patient sans se défendre,</w:t>
      </w:r>
    </w:p>
    <w:p w:rsidR="007C4BCB" w:rsidRPr="007C4BCB" w:rsidRDefault="007C4BCB" w:rsidP="007C4BC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>S’excuser sincèrement si nécessaire,</w:t>
      </w:r>
    </w:p>
    <w:p w:rsidR="007C4BCB" w:rsidRPr="007C4BCB" w:rsidRDefault="007C4BCB" w:rsidP="007C4BC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>Proposer une solution concrète ou corrective,</w:t>
      </w:r>
    </w:p>
    <w:p w:rsidR="007C4BCB" w:rsidRPr="007C4BCB" w:rsidRDefault="007C4BCB" w:rsidP="007C4BCB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>Transformer l’insatisfaction en opportunité de renforcer la confiance et la fidélité.</w:t>
      </w:r>
    </w:p>
    <w:p w:rsidR="007C4BCB" w:rsidRPr="007C4BCB" w:rsidRDefault="007C4BCB" w:rsidP="007C4BC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critique bien gérée devient un levier de fidélisation, en montrant au patient que son temps et ses préoccupations sont respectés.</w:t>
      </w:r>
    </w:p>
    <w:p w:rsidR="007C4BCB" w:rsidRPr="007C4BCB" w:rsidRDefault="007C4BCB" w:rsidP="007C4BC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🟦 QCM</w:t>
      </w:r>
    </w:p>
    <w:p w:rsidR="007C4BCB" w:rsidRPr="007C4BCB" w:rsidRDefault="007C4BCB" w:rsidP="007C4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– Réponse : A. Mesurer l’engagement de l’équipe dans la prévention et le conseil global</w:t>
      </w:r>
    </w:p>
    <w:p w:rsidR="007C4BCB" w:rsidRPr="007C4BCB" w:rsidRDefault="007C4BCB" w:rsidP="007C4BC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nombre de conseils associés reflète l’implication dans le conseil global et la prévention, pas le chiffre d’affaires ou le temps de délivrance.</w:t>
      </w:r>
    </w:p>
    <w:p w:rsidR="007C4BCB" w:rsidRPr="007C4BCB" w:rsidRDefault="007C4BCB" w:rsidP="007C4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– Réponse : B. Partager les compliments, anecdotes positives et situations bien gérées</w:t>
      </w:r>
    </w:p>
    <w:p w:rsidR="007C4BCB" w:rsidRPr="007C4BCB" w:rsidRDefault="007C4BCB" w:rsidP="007C4BC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Diffuser les réussites renforce la motivation, la cohésion et la répétition des bonnes pratiques.</w:t>
      </w:r>
    </w:p>
    <w:p w:rsidR="007C4BCB" w:rsidRPr="007C4BCB" w:rsidRDefault="007C4BCB" w:rsidP="007C4BC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– Réponse : C. Écouter, s’excuser si nécessaire et proposer une solution concrète</w:t>
      </w:r>
    </w:p>
    <w:p w:rsidR="00557177" w:rsidRPr="007C4BCB" w:rsidRDefault="007C4BCB" w:rsidP="007C4BCB">
      <w:pPr>
        <w:spacing w:beforeAutospacing="1" w:after="100" w:afterAutospacing="1" w:line="240" w:lineRule="auto"/>
      </w:pPr>
      <w:r w:rsidRPr="007C4BC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7C4BC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Cette démarche valorise le patient, désamorce les tensions et transforme une critique en opportunité de renforcer la relation et la fidélité.</w:t>
      </w:r>
      <w:bookmarkStart w:id="0" w:name="_GoBack"/>
      <w:bookmarkEnd w:id="0"/>
    </w:p>
    <w:sectPr w:rsidR="00557177" w:rsidRPr="007C4B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36F8B"/>
    <w:multiLevelType w:val="multilevel"/>
    <w:tmpl w:val="F0907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10EDE"/>
    <w:multiLevelType w:val="multilevel"/>
    <w:tmpl w:val="11229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E6104"/>
    <w:multiLevelType w:val="multilevel"/>
    <w:tmpl w:val="42D43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035ADE"/>
    <w:multiLevelType w:val="multilevel"/>
    <w:tmpl w:val="87764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96DB2"/>
    <w:multiLevelType w:val="multilevel"/>
    <w:tmpl w:val="276CD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B61A9E"/>
    <w:multiLevelType w:val="multilevel"/>
    <w:tmpl w:val="C85E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CC23F5"/>
    <w:multiLevelType w:val="multilevel"/>
    <w:tmpl w:val="745ED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7C48C8"/>
    <w:multiLevelType w:val="multilevel"/>
    <w:tmpl w:val="BFCCA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5C3E8D"/>
    <w:multiLevelType w:val="multilevel"/>
    <w:tmpl w:val="F5EC1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871A9E"/>
    <w:multiLevelType w:val="multilevel"/>
    <w:tmpl w:val="BBFC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CED380A"/>
    <w:multiLevelType w:val="multilevel"/>
    <w:tmpl w:val="4BC098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D57165F"/>
    <w:multiLevelType w:val="multilevel"/>
    <w:tmpl w:val="C884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7169D9"/>
    <w:multiLevelType w:val="multilevel"/>
    <w:tmpl w:val="FD6CD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47056C"/>
    <w:multiLevelType w:val="multilevel"/>
    <w:tmpl w:val="52F6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BC4510"/>
    <w:multiLevelType w:val="multilevel"/>
    <w:tmpl w:val="62CA7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FD035B"/>
    <w:multiLevelType w:val="multilevel"/>
    <w:tmpl w:val="CC0E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937F5D"/>
    <w:multiLevelType w:val="multilevel"/>
    <w:tmpl w:val="E8C80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0F744B"/>
    <w:multiLevelType w:val="multilevel"/>
    <w:tmpl w:val="5600C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CB09BB"/>
    <w:multiLevelType w:val="multilevel"/>
    <w:tmpl w:val="DA2EB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8E390D"/>
    <w:multiLevelType w:val="multilevel"/>
    <w:tmpl w:val="AE044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282153"/>
    <w:multiLevelType w:val="multilevel"/>
    <w:tmpl w:val="46208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550690"/>
    <w:multiLevelType w:val="multilevel"/>
    <w:tmpl w:val="CBE25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27427C"/>
    <w:multiLevelType w:val="multilevel"/>
    <w:tmpl w:val="B912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D46241"/>
    <w:multiLevelType w:val="multilevel"/>
    <w:tmpl w:val="5D54E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4"/>
  </w:num>
  <w:num w:numId="3">
    <w:abstractNumId w:val="7"/>
  </w:num>
  <w:num w:numId="4">
    <w:abstractNumId w:val="12"/>
  </w:num>
  <w:num w:numId="5">
    <w:abstractNumId w:val="15"/>
  </w:num>
  <w:num w:numId="6">
    <w:abstractNumId w:val="10"/>
  </w:num>
  <w:num w:numId="7">
    <w:abstractNumId w:val="11"/>
  </w:num>
  <w:num w:numId="8">
    <w:abstractNumId w:val="18"/>
  </w:num>
  <w:num w:numId="9">
    <w:abstractNumId w:val="17"/>
  </w:num>
  <w:num w:numId="10">
    <w:abstractNumId w:val="20"/>
  </w:num>
  <w:num w:numId="11">
    <w:abstractNumId w:val="14"/>
  </w:num>
  <w:num w:numId="12">
    <w:abstractNumId w:val="9"/>
  </w:num>
  <w:num w:numId="13">
    <w:abstractNumId w:val="13"/>
  </w:num>
  <w:num w:numId="14">
    <w:abstractNumId w:val="23"/>
  </w:num>
  <w:num w:numId="15">
    <w:abstractNumId w:val="5"/>
  </w:num>
  <w:num w:numId="16">
    <w:abstractNumId w:val="2"/>
  </w:num>
  <w:num w:numId="17">
    <w:abstractNumId w:val="0"/>
  </w:num>
  <w:num w:numId="18">
    <w:abstractNumId w:val="8"/>
  </w:num>
  <w:num w:numId="19">
    <w:abstractNumId w:val="1"/>
  </w:num>
  <w:num w:numId="20">
    <w:abstractNumId w:val="22"/>
  </w:num>
  <w:num w:numId="21">
    <w:abstractNumId w:val="16"/>
  </w:num>
  <w:num w:numId="22">
    <w:abstractNumId w:val="6"/>
  </w:num>
  <w:num w:numId="23">
    <w:abstractNumId w:val="2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F34"/>
    <w:rsid w:val="00180257"/>
    <w:rsid w:val="0025714B"/>
    <w:rsid w:val="00557177"/>
    <w:rsid w:val="00580617"/>
    <w:rsid w:val="006244EE"/>
    <w:rsid w:val="007016D6"/>
    <w:rsid w:val="007C4BCB"/>
    <w:rsid w:val="00A81912"/>
    <w:rsid w:val="00B05667"/>
    <w:rsid w:val="00C10738"/>
    <w:rsid w:val="00EF43BF"/>
    <w:rsid w:val="00F16F34"/>
    <w:rsid w:val="00F2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AF651C-3B48-404A-8C38-82824D5E0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27B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semiHidden/>
    <w:rsid w:val="00F27B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162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15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2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94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6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69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0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5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907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4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77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0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4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08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295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898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36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16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928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4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34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0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31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0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102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2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7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58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01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01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9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35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971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3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6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5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989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02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91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835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8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59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2025-10-15T15:44:00Z</dcterms:created>
  <dcterms:modified xsi:type="dcterms:W3CDTF">2025-10-15T15:44:00Z</dcterms:modified>
</cp:coreProperties>
</file>